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A44E" w14:textId="77777777" w:rsidR="001B4413" w:rsidRPr="001B4413" w:rsidRDefault="001B4413" w:rsidP="001B4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USTAWA</w:t>
      </w:r>
    </w:p>
    <w:p w14:paraId="26872ED0" w14:textId="77777777" w:rsidR="001B4413" w:rsidRPr="001B4413" w:rsidRDefault="001B4413" w:rsidP="001B4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z dnia 27 lipca 2001 r.</w:t>
      </w:r>
    </w:p>
    <w:p w14:paraId="2B1B9963" w14:textId="77777777" w:rsidR="001B4413" w:rsidRPr="001B4413" w:rsidRDefault="001B4413" w:rsidP="001B4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Prawo o ustroju sądów powszechnych</w:t>
      </w:r>
    </w:p>
    <w:p w14:paraId="5CD82ACD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Rozdział 7</w:t>
      </w:r>
    </w:p>
    <w:p w14:paraId="6BEEF162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Ławnicy</w:t>
      </w:r>
    </w:p>
    <w:p w14:paraId="48AF208E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Art. 158. [Wymagania na stanowisku ławnika]</w:t>
      </w:r>
    </w:p>
    <w:p w14:paraId="0180CD6B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1. Ławnikiem może być wybrany ten, kto:</w:t>
      </w:r>
    </w:p>
    <w:p w14:paraId="45552F94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1) posiada obywatelstwo polskie i korzysta z pełni praw cywilnych i obywatelskich;</w:t>
      </w:r>
    </w:p>
    <w:p w14:paraId="700F12F6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2) jest nieskazitelnego charakteru;</w:t>
      </w:r>
    </w:p>
    <w:p w14:paraId="0D5756A4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3) ukończył 30 lat;</w:t>
      </w:r>
    </w:p>
    <w:p w14:paraId="6AA37B03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4) jest zatrudniony, prowadzi działalność gospodarczą lub mieszka w miejscu</w:t>
      </w:r>
    </w:p>
    <w:p w14:paraId="1CB30D1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kandydowania co najmniej od roku;</w:t>
      </w:r>
    </w:p>
    <w:p w14:paraId="1C09ED85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5) nie przekroczył 70 lat;</w:t>
      </w:r>
    </w:p>
    <w:p w14:paraId="43E9C9B4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6) jest zdolny, ze względu na stan zdrowia, do pełnienia obowiązków ławnika;</w:t>
      </w:r>
    </w:p>
    <w:p w14:paraId="7AEBD5AE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7) posiada co najmniej wykształcenie średnie lub średnie branżowe.</w:t>
      </w:r>
    </w:p>
    <w:p w14:paraId="44716581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2. (uchylony).</w:t>
      </w:r>
    </w:p>
    <w:p w14:paraId="4D4FD1E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3. Do orzekania w sprawach z zakresu prawa pracy ławnikiem powinna być wybrana osoba</w:t>
      </w:r>
    </w:p>
    <w:p w14:paraId="0A34E5DD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wykazująca szczególną znajomość spraw pracowniczych.</w:t>
      </w:r>
    </w:p>
    <w:p w14:paraId="2A62F952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Art. 159. [Osoby niemogące być ławnikami]</w:t>
      </w:r>
    </w:p>
    <w:p w14:paraId="320394CF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1. Ławnikami nie mogą być:</w:t>
      </w:r>
    </w:p>
    <w:p w14:paraId="4E7090C1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1) osoby zatrudnione w sądach powszechnych i innych sądach oraz w prokuraturze;</w:t>
      </w:r>
    </w:p>
    <w:p w14:paraId="4F6E27DC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2) osoby wchodzące w skład organów, od których orzeczenia można żądać skierowania</w:t>
      </w:r>
    </w:p>
    <w:p w14:paraId="4FFC046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sprawy na drogę postępowania sądowego;</w:t>
      </w:r>
    </w:p>
    <w:p w14:paraId="1241C953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3) funkcjonariusze Policji oraz inne osoby zajmujące stanowiska związane ze ściganiem</w:t>
      </w:r>
    </w:p>
    <w:p w14:paraId="00D529D5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przestępstw i wykroczeń;</w:t>
      </w:r>
    </w:p>
    <w:p w14:paraId="0CB2781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4) adwokaci i aplikanci adwokaccy;</w:t>
      </w:r>
    </w:p>
    <w:p w14:paraId="35B5EE89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5) radcy prawni i aplikanci radcowscy;</w:t>
      </w:r>
    </w:p>
    <w:p w14:paraId="1F8CDD7E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6) duchowni;</w:t>
      </w:r>
    </w:p>
    <w:p w14:paraId="7A19F32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7) żołnierze w czynnej służbie wojskowej;</w:t>
      </w:r>
    </w:p>
    <w:p w14:paraId="50920AD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8) funkcjonariusze Służby Więziennej;</w:t>
      </w:r>
    </w:p>
    <w:p w14:paraId="0DB6B4B2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lastRenderedPageBreak/>
        <w:t>9) radni gminy, powiatu i województwa.</w:t>
      </w:r>
    </w:p>
    <w:p w14:paraId="353EDB4B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2. Nie można być ławnikiem jednocześnie w więcej niż jednym sądzie.</w:t>
      </w:r>
    </w:p>
    <w:p w14:paraId="476FA2C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2</w:t>
      </w:r>
    </w:p>
    <w:p w14:paraId="20C4F15B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Art. 160. [Wybory ławników]</w:t>
      </w:r>
    </w:p>
    <w:p w14:paraId="3E6BFEF5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1. Ławników do sądów okręgowych oraz do sądów rejonowych wybierają rady gmin,</w:t>
      </w:r>
    </w:p>
    <w:p w14:paraId="5020E11C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których obszar jest objęty właściwością tych sądów - w głosowaniu tajnym.</w:t>
      </w:r>
    </w:p>
    <w:p w14:paraId="1868BC6D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2. Wybory przygotowują gminy jako zadanie zlecone z zakresu administracji rządowej.</w:t>
      </w:r>
    </w:p>
    <w:p w14:paraId="05115F7E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Art. 161. [Ustalenie liczby ławników]</w:t>
      </w:r>
    </w:p>
    <w:p w14:paraId="0689199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1. Liczbę ławników wybieranych przez poszczególne rady gmin do wszystkich sądów</w:t>
      </w:r>
    </w:p>
    <w:p w14:paraId="54A7DE9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działających na obszarze właściwości sądu okręgowego, w tym także liczbę ławników do</w:t>
      </w:r>
    </w:p>
    <w:p w14:paraId="4713492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orzekania w sprawach z zakresu prawa pracy, ustala kolegium sądu okręgowego; liczbę</w:t>
      </w:r>
    </w:p>
    <w:p w14:paraId="49EA5880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ławników do poszczególnych sądów rejonowych ustala się po zasięgnięciu opinii prezesów</w:t>
      </w:r>
    </w:p>
    <w:p w14:paraId="3E51FF9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tych sądów.</w:t>
      </w:r>
    </w:p>
    <w:p w14:paraId="6AC71C91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2. Prezes sądu okręgowego podaje liczbę ławników do wiadomości poszczególnym radom</w:t>
      </w:r>
    </w:p>
    <w:p w14:paraId="739FE946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gmin najpóźniej na trzydzieści dni przed upływem terminu zgłaszania kandydatów.</w:t>
      </w:r>
    </w:p>
    <w:p w14:paraId="58C5135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Art. 162. [Zgłaszanie kandydatów na ławników]</w:t>
      </w:r>
    </w:p>
    <w:p w14:paraId="1B840CFC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1. Kandydatów na ławników mogą zgłaszać radom gmin prezesi właściwych sądów,</w:t>
      </w:r>
    </w:p>
    <w:p w14:paraId="33F2D63F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stowarzyszenia, inne organizacje społeczne i zawodowe, zarejestrowane na podstawie</w:t>
      </w:r>
    </w:p>
    <w:p w14:paraId="0611F94B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przepisów prawa, z wyłączeniem partii politycznych, oraz co najmniej pięćdziesięciu</w:t>
      </w:r>
    </w:p>
    <w:p w14:paraId="7A9573E1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obywateli mających czynne prawo wyborcze, zamieszkujących stale na terenie gminy</w:t>
      </w:r>
    </w:p>
    <w:p w14:paraId="528B836F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dokonującej wyboru, w terminie do dnia 30 czerwca ostatniego roku kadencji.</w:t>
      </w:r>
    </w:p>
    <w:p w14:paraId="4D3E2D8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2. Do zgłoszenia kandydata na ławnika dokonanego na karcie zgłoszenia dołącza się</w:t>
      </w:r>
    </w:p>
    <w:p w14:paraId="6565D66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0EDF345E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1) informację z Krajowego Rejestru Karnego dotyczącą zgłaszanej osoby;</w:t>
      </w:r>
    </w:p>
    <w:p w14:paraId="23E8B2CC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2) oświadczenie kandydata, że nie jest prowadzone przeciwko niemu postępowanie o</w:t>
      </w:r>
    </w:p>
    <w:p w14:paraId="311FFBE0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przestępstwo ścigane z oskarżenia publicznego lub przestępstwo skarbowe;</w:t>
      </w:r>
    </w:p>
    <w:p w14:paraId="330E89F5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3) oświadczenie kandydata, że nie jest lub nie był pozbawiony władzy rodzicielskiej, a</w:t>
      </w:r>
    </w:p>
    <w:p w14:paraId="4FCF3DB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także, że władza rodzicielska nie została mu ograniczona ani zawieszona;</w:t>
      </w:r>
    </w:p>
    <w:p w14:paraId="5C7F7AC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4) zaświadczenie lekarskie o stanie zdrowia, wystawione przez lekarza podstawowej</w:t>
      </w:r>
    </w:p>
    <w:p w14:paraId="21963AAD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opieki zdrowotnej, w rozumieniu przepisów ustawy z dnia 27 października 2017 r. o</w:t>
      </w:r>
    </w:p>
    <w:p w14:paraId="1B55C78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lastRenderedPageBreak/>
        <w:t>podstawowej opiece zdrowotnej (Dz. U. z 2022 r. poz. 2527), stwierdzające brak</w:t>
      </w:r>
    </w:p>
    <w:p w14:paraId="44D4673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przeciwwskazań do wykonywania funkcji ławnika;</w:t>
      </w:r>
    </w:p>
    <w:p w14:paraId="2388E61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5) dwa zdjęcia zgodne z wymogami stosowanymi przy składaniu wniosku o wydanie</w:t>
      </w:r>
    </w:p>
    <w:p w14:paraId="55F0389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dowodu osobistego.</w:t>
      </w:r>
    </w:p>
    <w:p w14:paraId="7BB85EE2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3. Do zgłoszenia kandydata na ławnika dokonanego na karcie zgłoszenia przez</w:t>
      </w:r>
    </w:p>
    <w:p w14:paraId="6B1CF65D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stowarzyszenie, inną organizację społeczną lub zawodową, zarejestrowaną na podstawie</w:t>
      </w:r>
    </w:p>
    <w:p w14:paraId="51244E23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przepisów prawa, dołącza się również aktualny odpis z Krajowego Rejestru Sądowego albo</w:t>
      </w:r>
    </w:p>
    <w:p w14:paraId="78D67465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odpis lub zaświadczenie potwierdzające wpis do innego właściwego rejestru lub ewidencji</w:t>
      </w:r>
    </w:p>
    <w:p w14:paraId="563C452B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dotyczące tej organizacji.</w:t>
      </w:r>
    </w:p>
    <w:p w14:paraId="613673D6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4. Do zgłoszenia kandydata na ławnika dokonanego na karcie zgłoszenia przez obywateli</w:t>
      </w:r>
    </w:p>
    <w:p w14:paraId="0106C432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dołącza się również listę osób zawierającą imię (imiona), nazwisko, numer ewidencyjny</w:t>
      </w:r>
    </w:p>
    <w:p w14:paraId="7BA1516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PESEL, miejsce stałego zamieszkania i własnoręczny podpis każdej z pięćdziesięciu osób</w:t>
      </w:r>
    </w:p>
    <w:p w14:paraId="76BCF92B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zgłaszających kandydata.</w:t>
      </w:r>
    </w:p>
    <w:p w14:paraId="4AAFCBB3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3</w:t>
      </w:r>
    </w:p>
    <w:p w14:paraId="55266D3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5. Dokumenty wymienione w § 2 pkt 1-4 powinny być opatrzone datą nie wcześniejszą niż</w:t>
      </w:r>
    </w:p>
    <w:p w14:paraId="3E38B2FE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trzydzieści dni przed dniem zgłoszenia, a dokumenty wymienione w § 3 nie wcześniejszą niż</w:t>
      </w:r>
    </w:p>
    <w:p w14:paraId="20379636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trzy miesiące przed dniem zgłoszenia.</w:t>
      </w:r>
    </w:p>
    <w:p w14:paraId="0F8A6A9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6. Osobą uprawnioną do składania wyjaśnień w sprawie zgłoszenia kandydata na ławnika</w:t>
      </w:r>
    </w:p>
    <w:p w14:paraId="4C27D595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przez obywateli jest osoba, której nazwisko zostało umieszczone jako pierwsze na liście, o</w:t>
      </w:r>
    </w:p>
    <w:p w14:paraId="2F398DD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której mowa w § 4.</w:t>
      </w:r>
    </w:p>
    <w:p w14:paraId="4E0373B4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7. Koszt opłaty za wydanie informacji z Krajowego Rejestru Karnego ponosi Skarb</w:t>
      </w:r>
    </w:p>
    <w:p w14:paraId="757AB13B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Państwa.</w:t>
      </w:r>
    </w:p>
    <w:p w14:paraId="7EEE1366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7a. Koszt opłaty za badanie lekarskie i za wystawienie zaświadczenia lekarskiego ponosi</w:t>
      </w:r>
    </w:p>
    <w:p w14:paraId="0E6B30B6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kandydat na ławnika.</w:t>
      </w:r>
    </w:p>
    <w:p w14:paraId="413864F3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8. Koszt opłaty za wydanie aktualnego odpisu z Krajowego Rejestru Sądowego albo odpisu</w:t>
      </w:r>
    </w:p>
    <w:p w14:paraId="2B8585E9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lub zaświadczenia z innego właściwego rejestru lub ewidencji ponosi Skarb Państwa.</w:t>
      </w:r>
    </w:p>
    <w:p w14:paraId="3C6F07FF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9. Rady gmin zasięgają od komendanta wojewódzkiego Policji albo Komendanta</w:t>
      </w:r>
    </w:p>
    <w:p w14:paraId="0A929F00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Stołecznego Policji informacji o kandydatach na ławników. Informacje o kandydacie na</w:t>
      </w:r>
    </w:p>
    <w:p w14:paraId="35EA82E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ławnika uzyskuje się i sporządza na zasadach określonych dla informacji o kandydacie do</w:t>
      </w:r>
    </w:p>
    <w:p w14:paraId="00AD228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objęcia stanowiska sędziowskiego.</w:t>
      </w:r>
    </w:p>
    <w:p w14:paraId="0D124E84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lastRenderedPageBreak/>
        <w:t>§ 10. Zgłoszenia kandydatów, które wpłynęły do rady gminy po upływie terminu, o którym</w:t>
      </w:r>
    </w:p>
    <w:p w14:paraId="125ADDA5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mowa w § 1, a także zgłoszenia, które nie spełniają wymagań formalnych, o których mowa w</w:t>
      </w:r>
    </w:p>
    <w:p w14:paraId="42F5D10E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2-5, pozostawia się bez dalszego biegu. Przywrócenie terminu do zgłoszenia kandydatów</w:t>
      </w:r>
    </w:p>
    <w:p w14:paraId="6B61DA91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jest niedopuszczalne. Pozostawienie zgłoszenia bez dalszego biegu rada gminy stwierdza w</w:t>
      </w:r>
    </w:p>
    <w:p w14:paraId="240AD1FB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drodze uchwały.</w:t>
      </w:r>
    </w:p>
    <w:p w14:paraId="4E2653D6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11. Minister Sprawiedliwości, po zasięgnięciu opinii Krajowej Rady Sądownictwa, określi,</w:t>
      </w:r>
    </w:p>
    <w:p w14:paraId="2F6B27C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w drodze rozporządzenia, sposób postępowania z dokumentami złożonymi radom gmin przy</w:t>
      </w:r>
    </w:p>
    <w:p w14:paraId="3CE22B34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zgłaszaniu kandydatów na ławników, wzór karty zgłoszenia oraz sposób jego udostępniania,</w:t>
      </w:r>
    </w:p>
    <w:p w14:paraId="4BA033EB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mając na uwadze potrzebę udokumentowania przez podmioty zgłaszające spełnianie przez</w:t>
      </w:r>
    </w:p>
    <w:p w14:paraId="5BF4A9E4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kandydatów na ławników wymogów określonych w ustawie, a także zapewnienia wyboru</w:t>
      </w:r>
    </w:p>
    <w:p w14:paraId="542682C4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kandydatów o najwyższych walorach etycznych i intelektualnych, umożliwienia rzetelnej</w:t>
      </w:r>
    </w:p>
    <w:p w14:paraId="64738B7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weryfikacji zgłoszeń i przejrzystości działań związanych ze zgłaszaniem kandydatów na</w:t>
      </w:r>
    </w:p>
    <w:p w14:paraId="3FBA5482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ławników, a przez określenie wzoru karty zgłoszenia i sposobu jego udostępniania - potrzebę</w:t>
      </w:r>
    </w:p>
    <w:p w14:paraId="6A48D7DD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ujednolicenia procedury zgłaszania, ułatwienia dostępu do wzoru i rozpatrywania zgłoszeń.</w:t>
      </w:r>
    </w:p>
    <w:p w14:paraId="078E34EC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Art. 163. [Organizacja wyborów ławników]</w:t>
      </w:r>
    </w:p>
    <w:p w14:paraId="7590E9F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1. Wybory ławników odbywają się najpóźniej w październiku roku kalendarzowego, w</w:t>
      </w:r>
    </w:p>
    <w:p w14:paraId="536CBDB0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którym upływa kadencja dotychczasowych ławników.</w:t>
      </w:r>
    </w:p>
    <w:p w14:paraId="0DB5E6AD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2. Przed przystąpieniem do wyborów rada gminy powołuje zespół, który przedstawia na</w:t>
      </w:r>
    </w:p>
    <w:p w14:paraId="165F373E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sesji rady gminy swoją opinię o zgłoszonych kandydatach, w szczególności w zakresie</w:t>
      </w:r>
    </w:p>
    <w:p w14:paraId="5DD7086F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spełnienia przez nich wymogów określonych w ustawie.</w:t>
      </w:r>
    </w:p>
    <w:p w14:paraId="1D6B6C0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Art. 164. [Wpis na listę ławników; ślubowanie]</w:t>
      </w:r>
    </w:p>
    <w:p w14:paraId="3D1C435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1. Listę wybranych ławników wraz z dokumentami, o których mowa w art. 162 § 2-4, rady</w:t>
      </w:r>
    </w:p>
    <w:p w14:paraId="0050A260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gmin, które dokonały ich wyboru, przesyłają prezesom właściwych sądów, najpóźniej do</w:t>
      </w:r>
    </w:p>
    <w:p w14:paraId="3071E5B6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końca października. Spośród ławników znajdujących się na liście wybranych ławników rady</w:t>
      </w:r>
    </w:p>
    <w:p w14:paraId="1C8650BC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gmin wskazują ławników do orzekania w sprawach z zakresu prawa pracy.</w:t>
      </w:r>
    </w:p>
    <w:p w14:paraId="67D40773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4</w:t>
      </w:r>
    </w:p>
    <w:p w14:paraId="4C2EA7BC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2. Prezes sądu wręcza ławnikom zawiadomienie o wyborze i odbiera od nich ślubowanie</w:t>
      </w:r>
    </w:p>
    <w:p w14:paraId="34E5B2C9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według roty ustalonej dla sędziów, z odpowiednią zmianą.</w:t>
      </w:r>
    </w:p>
    <w:p w14:paraId="6B089A8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3. Po odebraniu ślubowania prezes sądu wpisuje ławnika na listę ławników, którzy mogą</w:t>
      </w:r>
    </w:p>
    <w:p w14:paraId="441D91F3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być wyznaczani do orzekania, i wydaje mu legitymację.</w:t>
      </w:r>
    </w:p>
    <w:p w14:paraId="3D74EDD2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lastRenderedPageBreak/>
        <w:t>Art. 165. [Kadencja ławników]</w:t>
      </w:r>
    </w:p>
    <w:p w14:paraId="49D46343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1. Kadencja ławników sądów okręgowych i rejonowych trwa cztery lata kalendarzowe</w:t>
      </w:r>
    </w:p>
    <w:p w14:paraId="73F0D03D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następujące po roku, w którym dokonano wyborów, jednak mandat ławnika wybranego</w:t>
      </w:r>
    </w:p>
    <w:p w14:paraId="78719843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dodatkowo wygasa z upływem kadencji ogółu ławników.</w:t>
      </w:r>
    </w:p>
    <w:p w14:paraId="38EB35F4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2. Po upływie kadencji ławnik może brać udział jedynie w rozpoznawaniu sprawy</w:t>
      </w:r>
    </w:p>
    <w:p w14:paraId="3281B5F9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rozpoczętej wcześniej z jego udziałem, do czasu jej zakończenia.</w:t>
      </w:r>
    </w:p>
    <w:p w14:paraId="352ECD40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Art. 166. [Wygaśnięcie mandatu ławnika; odwołanie ławnika]</w:t>
      </w:r>
    </w:p>
    <w:p w14:paraId="5F84E824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1. Mandat ławnika wygasa w razie prawomocnego skazania za przestępstwo bądź</w:t>
      </w:r>
    </w:p>
    <w:p w14:paraId="08CA8965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wykroczenie, w tym również za przestępstwo lub wykroczenie skarbowe. Rada gminy, która</w:t>
      </w:r>
    </w:p>
    <w:p w14:paraId="5D0592C6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wybrała ławnika, stwierdza wygaśnięcie mandatu z tego powodu i informuje o tym prezesa</w:t>
      </w:r>
    </w:p>
    <w:p w14:paraId="39DCA0C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właściwego sądu.</w:t>
      </w:r>
    </w:p>
    <w:p w14:paraId="6010CCE1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2. Rada gminy, która wybrała ławnika, może go odwołać na wniosek prezesa właściwego</w:t>
      </w:r>
    </w:p>
    <w:p w14:paraId="7F90C4B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sądu, w razie:</w:t>
      </w:r>
    </w:p>
    <w:p w14:paraId="6FD81079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1) (uchylony);</w:t>
      </w:r>
    </w:p>
    <w:p w14:paraId="4EFCEA5E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2) niewykonywania obowiązków ławnika;</w:t>
      </w:r>
    </w:p>
    <w:p w14:paraId="57B7EE1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3) zachowania godzącego w powagę sądu;</w:t>
      </w:r>
    </w:p>
    <w:p w14:paraId="4635CF4F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4) niezdolności do wykonywania obowiązków ławnika.</w:t>
      </w:r>
    </w:p>
    <w:p w14:paraId="195ED335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2a. Wniosek, o którym mowa w § 2, jest składany łącznie z opiniami właściwej rady</w:t>
      </w:r>
    </w:p>
    <w:p w14:paraId="65D952FF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ławniczej oraz kolegium właściwego sądu okręgowego albo z oświadczeniem prezesa</w:t>
      </w:r>
    </w:p>
    <w:p w14:paraId="5D51EA0F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właściwego sądu, że taka opinia lub takie opinie nie zostały wydane w terminie 21 dni od dnia</w:t>
      </w:r>
    </w:p>
    <w:p w14:paraId="2A8D311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doręczenia wniosku do zaopiniowania. W przypadku braku opinii prezes właściwego sądu</w:t>
      </w:r>
    </w:p>
    <w:p w14:paraId="05A131ED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przedkłada radzie gminy wraz z wnioskiem potwierdzenie jego doręczenia podmiotowi</w:t>
      </w:r>
    </w:p>
    <w:p w14:paraId="1404FA29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uprawnionemu do wydania opinii. Niewydanie opinii w terminie uważa się za niezgłoszenie</w:t>
      </w:r>
    </w:p>
    <w:p w14:paraId="1DFDBF0E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uwag do wniosku. Przepis art. 31 § 2 stosuje się odpowiednio.</w:t>
      </w:r>
    </w:p>
    <w:p w14:paraId="2A972C7E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2b. Przed podjęciem uchwały w sprawie wniosku o odwołanie ławnika przewodniczący</w:t>
      </w:r>
    </w:p>
    <w:p w14:paraId="04929E4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rady gminy umożliwia wysłuchanie ławnika i jego udział w posiedzeniu właściwej komisji i w</w:t>
      </w:r>
    </w:p>
    <w:p w14:paraId="07CF3F6C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sesji rady gminy, na których taki wniosek będzie opiniowany i rozpoznawany. O terminach</w:t>
      </w:r>
    </w:p>
    <w:p w14:paraId="34C0D11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posiedzenia komisji i sesji rady gminy ławnik jest powiadamiany na piśmie, co najmniej z</w:t>
      </w:r>
    </w:p>
    <w:p w14:paraId="64229521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siedmiodniowym wyprzedzeniem, w trybie i w sposób przewidziany w Kodeksie</w:t>
      </w:r>
    </w:p>
    <w:p w14:paraId="1DC0062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postępowania administracyjnego.</w:t>
      </w:r>
    </w:p>
    <w:p w14:paraId="6AB8E6F9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lastRenderedPageBreak/>
        <w:t>§ 2c. W sprawach, o których mowa w § 2b, ławnik działa osobiście, a w razie niemożności</w:t>
      </w:r>
    </w:p>
    <w:p w14:paraId="5281D25F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osobistego stawiennictwa może działać przez pełnomocnika.</w:t>
      </w:r>
    </w:p>
    <w:p w14:paraId="59706046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3. Przed upływem kadencji mandat ławnika wygasa z dniem doręczenia mu zawiadomienia</w:t>
      </w:r>
    </w:p>
    <w:p w14:paraId="472A4E7F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prezesa sądu o skreśleniu z listy ławników wskutek zrzeczenia się mandatu z ważnych</w:t>
      </w:r>
    </w:p>
    <w:p w14:paraId="3D123BA6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przyczyn lub odwołania ławnika przez radę gminy.</w:t>
      </w:r>
    </w:p>
    <w:p w14:paraId="7F871D2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5</w:t>
      </w:r>
    </w:p>
    <w:p w14:paraId="7D7656CD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Art. 167. [Okoliczności wyłączające powołanie ławnika do pełnienia obowiązków]</w:t>
      </w:r>
    </w:p>
    <w:p w14:paraId="3FECFD92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1. W czasie trwania kadencji nie powołuje się ławnika do pełnienia obowiązków w</w:t>
      </w:r>
    </w:p>
    <w:p w14:paraId="01C890B3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przypadku:</w:t>
      </w:r>
    </w:p>
    <w:p w14:paraId="0663E185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1) ujawnienia okoliczności, które nie pozwalały na jego wybór;</w:t>
      </w:r>
    </w:p>
    <w:p w14:paraId="40CF718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2) wszczęcia postępowania o odwołanie ławnika - do czasu podjęcia przez radę gminy</w:t>
      </w:r>
    </w:p>
    <w:p w14:paraId="71431A14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uchwały w przedmiocie odwołania;</w:t>
      </w:r>
    </w:p>
    <w:p w14:paraId="364C5E36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3) wszczęcia przeciwko ławnikowi postępowania o przestępstwo ścigane z oskarżenia</w:t>
      </w:r>
    </w:p>
    <w:p w14:paraId="2AC71BA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publicznego lub przestępstwo skarbowe - do czasu prawomocnego rozstrzygnięcia</w:t>
      </w:r>
    </w:p>
    <w:p w14:paraId="337CADEF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sprawy.</w:t>
      </w:r>
    </w:p>
    <w:p w14:paraId="5129829D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2. W razie zniesienia sądu, ośrodka zamiejscowego lub wydziału zamiejscowego - ławnicy</w:t>
      </w:r>
    </w:p>
    <w:p w14:paraId="4084A43E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tych jednostek stają się ławnikami sądów, które przejmują kompetencje zniesionych</w:t>
      </w:r>
    </w:p>
    <w:p w14:paraId="3B9DA4E2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jednostek.</w:t>
      </w:r>
    </w:p>
    <w:p w14:paraId="29CB3B15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Art. 168. [Uzupełnienie listy ławników]</w:t>
      </w:r>
    </w:p>
    <w:p w14:paraId="74A66B51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W razie potrzeby, zwłaszcza z powodu zmniejszenia się w czasie kadencji liczby ławników,</w:t>
      </w:r>
    </w:p>
    <w:p w14:paraId="2F7008B3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rada gminy na wniosek prezesa sądu okręgowego dokonuje uzupełnienia listy, wybierając</w:t>
      </w:r>
    </w:p>
    <w:p w14:paraId="780A81AE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nowych ławników w sposób określony w ustawie.</w:t>
      </w:r>
    </w:p>
    <w:p w14:paraId="461DFB6D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Art. 169. [Niezawisłość ławników]</w:t>
      </w:r>
    </w:p>
    <w:p w14:paraId="07437153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1. W zakresie orzekania ławnicy są niezawiśli i podlegają tylko Konstytucji oraz ustawom.</w:t>
      </w:r>
    </w:p>
    <w:p w14:paraId="415F1FC5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2. Ławnik nie może przewodniczyć na rozprawie i naradzie ani też wykonywać czynności</w:t>
      </w:r>
    </w:p>
    <w:p w14:paraId="79529F41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sędziego poza rozprawą, chyba że ustawy stanowią inaczej.</w:t>
      </w:r>
    </w:p>
    <w:p w14:paraId="71B486E2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3. Do ławników przepis art. 85 § 4 stosuje się odpowiednio.</w:t>
      </w:r>
    </w:p>
    <w:p w14:paraId="35A77920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Art. 170. [Wyznaczenie ławnika do udziału w rozprawie]</w:t>
      </w:r>
    </w:p>
    <w:p w14:paraId="74DE7F30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1. Ławnik może zostać wyznaczony do udziału w rozprawach do dwunastu dni w ciągu</w:t>
      </w:r>
    </w:p>
    <w:p w14:paraId="16C247FB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roku. Liczba tych dni może być zwiększona przez prezesa sądu tylko z ważnych przyczyn, a</w:t>
      </w:r>
    </w:p>
    <w:p w14:paraId="36501F42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lastRenderedPageBreak/>
        <w:t>zwłaszcza w przypadku konieczności zakończenia rozprawy z udziałem tego ławnika.</w:t>
      </w:r>
    </w:p>
    <w:p w14:paraId="3ACBEDDC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2. (uchylony).</w:t>
      </w:r>
    </w:p>
    <w:p w14:paraId="3C70E451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3. Wyznaczając ławnika do udziału w rozprawie, zawiadamia się o tym jednocześnie</w:t>
      </w:r>
    </w:p>
    <w:p w14:paraId="51F3D7A2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pracodawcę zatrudniającego ławnika.</w:t>
      </w:r>
    </w:p>
    <w:p w14:paraId="12A44463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Art. 171. [Przydzielenie dodatkowego ławnika do sprawy]</w:t>
      </w:r>
    </w:p>
    <w:p w14:paraId="42E037F9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1. Prezes sądu może zarządzić przydzielenie dodatkowego ławnika do sprawy, jeżeli</w:t>
      </w:r>
    </w:p>
    <w:p w14:paraId="2ED0132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istnieje prawdopodobieństwo, że będzie ona trwać czas dłuższy. W razie potrzeby można</w:t>
      </w:r>
    </w:p>
    <w:p w14:paraId="7F7C0593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przydzielić dwóch ławników dodatkowych wskazując kolejność, w której będą oni</w:t>
      </w:r>
    </w:p>
    <w:p w14:paraId="53EED801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wstępować do udziału w naradzie i głosowaniu.</w:t>
      </w:r>
    </w:p>
    <w:p w14:paraId="0CE1851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2. Ławnik dodatkowy bierze udział w naradzie i głosowaniu, jeżeli jeden z ławników nie</w:t>
      </w:r>
    </w:p>
    <w:p w14:paraId="42BB9E52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może uczestniczyć w składzie sądu.</w:t>
      </w:r>
    </w:p>
    <w:p w14:paraId="32B576E6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Art. 172. [Obowiązki pracodawcy ławnika; rekompensata pieniężna; ryczałt na</w:t>
      </w:r>
    </w:p>
    <w:p w14:paraId="769F177D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pokrycie kosztów dojazdu do sądu]</w:t>
      </w:r>
    </w:p>
    <w:p w14:paraId="5055109E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6</w:t>
      </w:r>
    </w:p>
    <w:p w14:paraId="6A6B6120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1. Pracodawca zatrudniający ławnika jest obowiązany zwolnić go od pracy na czas</w:t>
      </w:r>
    </w:p>
    <w:p w14:paraId="3479FFC3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wykonywania czynności w sądzie.</w:t>
      </w:r>
    </w:p>
    <w:p w14:paraId="4755AE56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2. Za czas zwolnienia od pracy ławnik zachowuje prawo do świadczeń wynikających ze</w:t>
      </w:r>
    </w:p>
    <w:p w14:paraId="3D0DF28F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stosunku pracy, z wyjątkiem prawa do wynagrodzenia.</w:t>
      </w:r>
    </w:p>
    <w:p w14:paraId="5B1F1F34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3. Ławnik otrzymuje rekompensatę pieniężną za czas wykonywania czynności w sądzie,</w:t>
      </w:r>
    </w:p>
    <w:p w14:paraId="53FD0420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którymi są: udział w rozprawie lub posiedzeniu, uczestnictwo w naradzie nad wyrokiem,</w:t>
      </w:r>
    </w:p>
    <w:p w14:paraId="2C94319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sporządzenie uzasadnienia lub uczestnictwo w posiedzeniu rady ławniczej, jeżeli został do</w:t>
      </w:r>
    </w:p>
    <w:p w14:paraId="4C3F5242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niej wybrany.</w:t>
      </w:r>
    </w:p>
    <w:p w14:paraId="3443971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4. Wysokość rekompensaty dla ławników biorących udział w rozpoznawaniu spraw w</w:t>
      </w:r>
    </w:p>
    <w:p w14:paraId="20089438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sądach powszechnych, za jeden dzień pełnienia obowiązków ławnika, wynosi 2,64%</w:t>
      </w:r>
    </w:p>
    <w:p w14:paraId="042ADEAC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podstawy ustalenia wynagrodzenia zasadniczego sędziego, o której mowa w art. 91 § 1c.</w:t>
      </w:r>
    </w:p>
    <w:p w14:paraId="7BAD140B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4a. Ławnikowi przysługuje ryczałt na pokrycie kosztów dojazdu do sądu w celu</w:t>
      </w:r>
    </w:p>
    <w:p w14:paraId="39E6E69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wykonywania czynności w sądzie środkami komunikacji miejscowej w wysokości 0,25%</w:t>
      </w:r>
    </w:p>
    <w:p w14:paraId="6A297E7B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podstawy ustalenia wynagrodzenia zasadniczego sędziego, o której mowa w art. 91 § 1c.</w:t>
      </w:r>
    </w:p>
    <w:p w14:paraId="54E61B09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5. (uchylony).</w:t>
      </w:r>
    </w:p>
    <w:p w14:paraId="1AA806C2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6. Koszty wypłaty świadczeń, o których mowa w § 4 i 4a, ponosi Skarb Państwa.</w:t>
      </w:r>
    </w:p>
    <w:p w14:paraId="3B17F5D3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lastRenderedPageBreak/>
        <w:t>Art. 173. [Diety i zwrot kosztów przejazdu i noclegu ławników]</w:t>
      </w:r>
    </w:p>
    <w:p w14:paraId="213E8615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Ławnicy zamieszkali poza siedzibą sądu otrzymują diety oraz zwrot kosztów przejazdu i</w:t>
      </w:r>
    </w:p>
    <w:p w14:paraId="76AA92B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noclegu według zasad ustalonych w tym zakresie dla sędziów.</w:t>
      </w:r>
    </w:p>
    <w:p w14:paraId="08CB7470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Art. 174. [Przyznanie należności ławnikom]</w:t>
      </w:r>
    </w:p>
    <w:p w14:paraId="003EAD34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1. Należności, o których mowa w art. 172 § 3 i art. 173, przyznaje prezes właściwego sądu.</w:t>
      </w:r>
    </w:p>
    <w:p w14:paraId="7F87666C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2. Od decyzji prezesa sądu rejonowego przysługuje odwołanie do prezesa sądu</w:t>
      </w:r>
    </w:p>
    <w:p w14:paraId="087148D5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okręgowego, a gdy decyzję w pierwszej instancji wydał prezes sądu okręgowego lub prezes</w:t>
      </w:r>
    </w:p>
    <w:p w14:paraId="7D03BE29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sądu apelacyjnego - do Ministra Sprawiedliwości.</w:t>
      </w:r>
    </w:p>
    <w:p w14:paraId="13A3203C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Art. 175. [Rada ławnicza]</w:t>
      </w:r>
    </w:p>
    <w:p w14:paraId="741862A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1. Ławnicy każdego sądu wybierają ze swego grona radę ławniczą, jej przewodniczącego i</w:t>
      </w:r>
    </w:p>
    <w:p w14:paraId="668D9E19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zastępców.</w:t>
      </w:r>
    </w:p>
    <w:p w14:paraId="61F7019E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2. Do zadań rady ławniczej należy w szczególności podnoszenie poziomu pracy ławników i</w:t>
      </w:r>
    </w:p>
    <w:p w14:paraId="5C05F0C0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ich reprezentowanie oraz pobudzanie działalności wychowawczej ławników w</w:t>
      </w:r>
    </w:p>
    <w:p w14:paraId="6AF1D43B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społeczeństwie.</w:t>
      </w:r>
    </w:p>
    <w:p w14:paraId="5A67DD82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§ 3. Minister Sprawiedliwości określi, w drodze rozporządzenia, sposób wyboru, skład i</w:t>
      </w:r>
    </w:p>
    <w:p w14:paraId="5DA9AAA7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strukturę organizacyjną, tryb działania oraz szczegółowe zadania rady ławniczej,</w:t>
      </w:r>
    </w:p>
    <w:p w14:paraId="5104AE1F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uwzględniając obligatoryjny charakter rady ławniczej jako samorządu ławniczego,</w:t>
      </w:r>
    </w:p>
    <w:p w14:paraId="3B98B2DA" w14:textId="77777777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reprezentującego ławników w danym sądzie, zakres współpracy z prezesem sądu, potrzebę</w:t>
      </w:r>
    </w:p>
    <w:p w14:paraId="577EFF88" w14:textId="3ED00BCA" w:rsidR="001B4413" w:rsidRPr="001B4413" w:rsidRDefault="001B4413" w:rsidP="001B4413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uwzględnienia w jej strukturze przewodniczącego i zastępców oraz określenia ich zadań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B4413" w:rsidRPr="001B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13"/>
    <w:rsid w:val="001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EB4B"/>
  <w15:chartTrackingRefBased/>
  <w15:docId w15:val="{BCA9DBBE-D517-4E23-B04E-2AFF64DA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2083</Words>
  <Characters>12500</Characters>
  <Application>Microsoft Office Word</Application>
  <DocSecurity>0</DocSecurity>
  <Lines>104</Lines>
  <Paragraphs>29</Paragraphs>
  <ScaleCrop>false</ScaleCrop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Paron</dc:creator>
  <cp:keywords/>
  <dc:description/>
  <cp:lastModifiedBy>Anna Paron</cp:lastModifiedBy>
  <cp:revision>1</cp:revision>
  <dcterms:created xsi:type="dcterms:W3CDTF">2024-02-01T10:31:00Z</dcterms:created>
  <dcterms:modified xsi:type="dcterms:W3CDTF">2024-02-01T10:33:00Z</dcterms:modified>
</cp:coreProperties>
</file>